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C2" w:rsidRPr="002341C2" w:rsidRDefault="002341C2" w:rsidP="002341C2">
      <w:pPr>
        <w:pStyle w:val="ListParagraph"/>
        <w:jc w:val="center"/>
        <w:rPr>
          <w:b/>
          <w:sz w:val="24"/>
          <w:szCs w:val="24"/>
        </w:rPr>
      </w:pPr>
      <w:bookmarkStart w:id="0" w:name="_GoBack"/>
      <w:r w:rsidRPr="002341C2">
        <w:rPr>
          <w:b/>
          <w:sz w:val="24"/>
          <w:szCs w:val="24"/>
        </w:rPr>
        <w:t>National Council for Cu</w:t>
      </w:r>
      <w:r>
        <w:rPr>
          <w:b/>
          <w:sz w:val="24"/>
          <w:szCs w:val="24"/>
        </w:rPr>
        <w:t>rriculum and Assessment (NCCA) c</w:t>
      </w:r>
      <w:r w:rsidRPr="002341C2">
        <w:rPr>
          <w:b/>
          <w:sz w:val="24"/>
          <w:szCs w:val="24"/>
        </w:rPr>
        <w:t>onsultation on</w:t>
      </w:r>
    </w:p>
    <w:p w:rsidR="00D050FD" w:rsidRPr="002341C2" w:rsidRDefault="002341C2" w:rsidP="002341C2">
      <w:pPr>
        <w:pStyle w:val="ListParagraph"/>
        <w:jc w:val="center"/>
        <w:rPr>
          <w:b/>
          <w:sz w:val="24"/>
          <w:szCs w:val="24"/>
        </w:rPr>
      </w:pPr>
      <w:r w:rsidRPr="002341C2">
        <w:rPr>
          <w:b/>
          <w:sz w:val="24"/>
          <w:szCs w:val="24"/>
        </w:rPr>
        <w:t>Education about Religions and Beliefs (ERB) and Ethics</w:t>
      </w:r>
    </w:p>
    <w:bookmarkEnd w:id="0"/>
    <w:p w:rsidR="002341C2" w:rsidRDefault="002341C2" w:rsidP="00D050FD">
      <w:pPr>
        <w:pStyle w:val="ListParagraph"/>
      </w:pPr>
    </w:p>
    <w:p w:rsidR="00D050FD" w:rsidRDefault="00D050FD" w:rsidP="00D050FD">
      <w:pPr>
        <w:pStyle w:val="ListParagraph"/>
      </w:pPr>
      <w:r>
        <w:t xml:space="preserve">The Council for </w:t>
      </w:r>
      <w:proofErr w:type="spellStart"/>
      <w:r>
        <w:t>Catechetics</w:t>
      </w:r>
      <w:proofErr w:type="spellEnd"/>
      <w:r w:rsidR="002341C2">
        <w:t xml:space="preserve"> of the Bishops’ Conference and the </w:t>
      </w:r>
      <w:r>
        <w:t>C</w:t>
      </w:r>
      <w:r w:rsidR="00E143AB">
        <w:t xml:space="preserve">atholic </w:t>
      </w:r>
      <w:r>
        <w:t>S</w:t>
      </w:r>
      <w:r w:rsidR="00E143AB">
        <w:t xml:space="preserve">chools </w:t>
      </w:r>
      <w:r>
        <w:t>P</w:t>
      </w:r>
      <w:r w:rsidR="00E143AB">
        <w:t>artne</w:t>
      </w:r>
      <w:r w:rsidR="00284688">
        <w:t>r</w:t>
      </w:r>
      <w:r w:rsidR="00E143AB">
        <w:t>ship</w:t>
      </w:r>
      <w:r w:rsidR="002341C2">
        <w:t xml:space="preserve"> held a round-table conversation </w:t>
      </w:r>
      <w:r w:rsidR="00FF2525">
        <w:t xml:space="preserve">in </w:t>
      </w:r>
      <w:r w:rsidR="002341C2">
        <w:t>Dublin</w:t>
      </w:r>
      <w:r>
        <w:t xml:space="preserve"> on the 26</w:t>
      </w:r>
      <w:r w:rsidRPr="00D050FD">
        <w:rPr>
          <w:vertAlign w:val="superscript"/>
        </w:rPr>
        <w:t>th</w:t>
      </w:r>
      <w:r>
        <w:t xml:space="preserve"> November</w:t>
      </w:r>
      <w:r w:rsidR="00FF2525">
        <w:t xml:space="preserve"> 2015</w:t>
      </w:r>
      <w:r w:rsidR="002341C2">
        <w:t xml:space="preserve"> to review the NCCA proposals</w:t>
      </w:r>
      <w:r>
        <w:t>.  This meeting was attended by</w:t>
      </w:r>
      <w:r w:rsidR="00B44C76">
        <w:t xml:space="preserve"> 28 </w:t>
      </w:r>
      <w:r>
        <w:t>people involved in first, second and third level Catholic Religious Education.  It was agreed that</w:t>
      </w:r>
      <w:r w:rsidR="00D451CE">
        <w:t xml:space="preserve"> these</w:t>
      </w:r>
      <w:r>
        <w:t xml:space="preserve"> notes on the conversation would be circulated to assist respondents in making submissions to the NCCA.</w:t>
      </w:r>
      <w:r w:rsidR="00D451CE">
        <w:t xml:space="preserve">  </w:t>
      </w:r>
    </w:p>
    <w:p w:rsidR="00D050FD" w:rsidRDefault="00D050FD" w:rsidP="00D050FD">
      <w:pPr>
        <w:pStyle w:val="ListParagraph"/>
      </w:pPr>
      <w:r>
        <w:t xml:space="preserve">  </w:t>
      </w:r>
    </w:p>
    <w:p w:rsidR="00D050FD" w:rsidRDefault="00F03D26" w:rsidP="00D050FD">
      <w:pPr>
        <w:pStyle w:val="ListParagraph"/>
      </w:pPr>
      <w:r>
        <w:t xml:space="preserve">In making responses to the NCCA consultation it is recommended that respondents deal with some or all of the following issues depending on their experience and expertise. </w:t>
      </w:r>
    </w:p>
    <w:p w:rsidR="00D050FD" w:rsidRDefault="00D050FD" w:rsidP="00D050FD">
      <w:pPr>
        <w:pStyle w:val="ListParagraph"/>
      </w:pPr>
    </w:p>
    <w:p w:rsidR="00D050FD" w:rsidRDefault="00D050FD" w:rsidP="00D050FD">
      <w:pPr>
        <w:pStyle w:val="ListParagraph"/>
      </w:pPr>
    </w:p>
    <w:p w:rsidR="00006DE0" w:rsidRDefault="00090D0B" w:rsidP="00F03D26">
      <w:pPr>
        <w:pStyle w:val="ListParagraph"/>
        <w:numPr>
          <w:ilvl w:val="1"/>
          <w:numId w:val="1"/>
        </w:numPr>
      </w:pPr>
      <w:r>
        <w:t>Potential p</w:t>
      </w:r>
      <w:r w:rsidR="00F03D26">
        <w:t>hilosophical problems with the proposals. The intellectual presuppositions of the proposal</w:t>
      </w:r>
      <w:r w:rsidR="00D451CE">
        <w:t xml:space="preserve"> appear to</w:t>
      </w:r>
      <w:r w:rsidR="00F03D26">
        <w:t xml:space="preserve"> </w:t>
      </w:r>
      <w:r w:rsidR="00C044E8">
        <w:t xml:space="preserve">conflict with a religious education based on faith commitment. </w:t>
      </w:r>
    </w:p>
    <w:p w:rsidR="00FB6626" w:rsidRDefault="00FB6626" w:rsidP="00F03D26">
      <w:pPr>
        <w:pStyle w:val="ListParagraph"/>
        <w:numPr>
          <w:ilvl w:val="1"/>
          <w:numId w:val="1"/>
        </w:numPr>
      </w:pPr>
      <w:r>
        <w:t xml:space="preserve">The proposals are </w:t>
      </w:r>
      <w:r w:rsidR="00D451CE">
        <w:t xml:space="preserve">arguably </w:t>
      </w:r>
      <w:r>
        <w:t xml:space="preserve">inspired more by an adult, intellectual critique of religions than the childhood experience of living in a world informed by religious and other beliefs. </w:t>
      </w:r>
    </w:p>
    <w:p w:rsidR="00006DE0" w:rsidRDefault="00C044E8" w:rsidP="00006DE0">
      <w:pPr>
        <w:pStyle w:val="ListParagraph"/>
        <w:numPr>
          <w:ilvl w:val="1"/>
          <w:numId w:val="1"/>
        </w:numPr>
      </w:pPr>
      <w:r>
        <w:t xml:space="preserve">The Catholic understanding of religious education is committed to inter-religious dialogue. In a changing socio-demographic context in Ireland awareness needs to be </w:t>
      </w:r>
      <w:r w:rsidR="00A84635">
        <w:t>heightened of this important di</w:t>
      </w:r>
      <w:r>
        <w:t xml:space="preserve">mension of denominational religious education. </w:t>
      </w:r>
    </w:p>
    <w:p w:rsidR="00006DE0" w:rsidRDefault="00A84635" w:rsidP="00006DE0">
      <w:pPr>
        <w:pStyle w:val="ListParagraph"/>
        <w:numPr>
          <w:ilvl w:val="1"/>
          <w:numId w:val="1"/>
        </w:numPr>
      </w:pPr>
      <w:r>
        <w:t>Catholic schools currently make</w:t>
      </w:r>
      <w:r w:rsidR="00006DE0">
        <w:t xml:space="preserve"> provision for inter-religious and inter-cultu</w:t>
      </w:r>
      <w:r w:rsidR="000A4CD1">
        <w:t>ral awareness in terms of their</w:t>
      </w:r>
      <w:r w:rsidR="00006DE0">
        <w:t xml:space="preserve"> policies, </w:t>
      </w:r>
      <w:r w:rsidR="000A4CD1">
        <w:t xml:space="preserve">ethos, </w:t>
      </w:r>
      <w:proofErr w:type="gramStart"/>
      <w:r w:rsidR="000A4CD1">
        <w:t>leadership</w:t>
      </w:r>
      <w:proofErr w:type="gramEnd"/>
      <w:r w:rsidR="000A4CD1">
        <w:t>,</w:t>
      </w:r>
      <w:r w:rsidR="00006DE0">
        <w:t xml:space="preserve"> </w:t>
      </w:r>
      <w:r w:rsidR="000A4CD1">
        <w:t xml:space="preserve">the programme in </w:t>
      </w:r>
      <w:r w:rsidR="00006DE0">
        <w:t>r</w:t>
      </w:r>
      <w:r w:rsidR="000A4CD1">
        <w:t>eligious education and across other curricular areas</w:t>
      </w:r>
      <w:r w:rsidR="00006DE0">
        <w:t>.</w:t>
      </w:r>
      <w:r w:rsidR="002264F5">
        <w:t xml:space="preserve">  It would be good to include examples of these.</w:t>
      </w:r>
    </w:p>
    <w:p w:rsidR="00006DE0" w:rsidRDefault="00A84635" w:rsidP="00006DE0">
      <w:pPr>
        <w:pStyle w:val="ListParagraph"/>
        <w:numPr>
          <w:ilvl w:val="1"/>
          <w:numId w:val="1"/>
        </w:numPr>
      </w:pPr>
      <w:r>
        <w:t>Similarly, Catholic schools</w:t>
      </w:r>
      <w:r w:rsidR="00006DE0">
        <w:t xml:space="preserve"> currently </w:t>
      </w:r>
      <w:r>
        <w:t>make</w:t>
      </w:r>
      <w:r w:rsidR="00006DE0">
        <w:t xml:space="preserve"> provision for ethics in terms of school policies, school e</w:t>
      </w:r>
      <w:r w:rsidR="000A4CD1">
        <w:t>thos, school leadership,</w:t>
      </w:r>
      <w:r w:rsidR="00006DE0">
        <w:t xml:space="preserve"> r</w:t>
      </w:r>
      <w:r w:rsidR="000A4CD1">
        <w:t>eligious education and across other curricular areas</w:t>
      </w:r>
      <w:r w:rsidR="00006DE0">
        <w:t>.</w:t>
      </w:r>
      <w:r w:rsidR="002264F5">
        <w:t xml:space="preserve"> It would be good </w:t>
      </w:r>
      <w:r w:rsidR="00D451CE">
        <w:t xml:space="preserve">for respondents to the NCCA consultation process </w:t>
      </w:r>
      <w:r w:rsidR="002264F5">
        <w:t>to include examples of these.</w:t>
      </w:r>
    </w:p>
    <w:p w:rsidR="00125D10" w:rsidRDefault="00A84635" w:rsidP="00006DE0">
      <w:pPr>
        <w:pStyle w:val="ListParagraph"/>
        <w:numPr>
          <w:ilvl w:val="1"/>
          <w:numId w:val="1"/>
        </w:numPr>
      </w:pPr>
      <w:r>
        <w:t xml:space="preserve">Parents, families and children with religious convictions have a right to give expression to these in faith-based schools. </w:t>
      </w:r>
      <w:r w:rsidR="00F6160A">
        <w:t>Such schools adopt a child-centred, holistic approach to education where religious belief is not compartmentalised but is</w:t>
      </w:r>
      <w:r w:rsidR="00D6483D">
        <w:t xml:space="preserve"> fully acknowledged as part of lived reality for these parents, families and children. </w:t>
      </w:r>
    </w:p>
    <w:p w:rsidR="00125D10" w:rsidRDefault="00D451CE" w:rsidP="00006DE0">
      <w:pPr>
        <w:pStyle w:val="ListParagraph"/>
        <w:numPr>
          <w:ilvl w:val="1"/>
          <w:numId w:val="1"/>
        </w:numPr>
      </w:pPr>
      <w:r>
        <w:t xml:space="preserve">Arguably, the </w:t>
      </w:r>
      <w:r w:rsidR="00125D10">
        <w:t xml:space="preserve">proposals have more in common with a curriculum in inter-cultural studies than religious education. </w:t>
      </w:r>
    </w:p>
    <w:p w:rsidR="00125D10" w:rsidRDefault="00125D10" w:rsidP="00006DE0">
      <w:pPr>
        <w:pStyle w:val="ListParagraph"/>
        <w:numPr>
          <w:ilvl w:val="1"/>
          <w:numId w:val="1"/>
        </w:numPr>
      </w:pPr>
      <w:r>
        <w:t>Religious education in faith-based schools is inseparable from the characteri</w:t>
      </w:r>
      <w:r w:rsidR="00650364">
        <w:t>stic spirit of the school. The E</w:t>
      </w:r>
      <w:r>
        <w:t>ducation Act specifically require</w:t>
      </w:r>
      <w:r w:rsidR="00D85F77">
        <w:t>s the Minister to have regard for</w:t>
      </w:r>
      <w:r>
        <w:t xml:space="preserve"> the characteristic spirit of the school in exercising his or her functions with regard to curriculum {section 30(2</w:t>
      </w:r>
      <w:proofErr w:type="gramStart"/>
      <w:r>
        <w:t>)(</w:t>
      </w:r>
      <w:proofErr w:type="gramEnd"/>
      <w:r>
        <w:t xml:space="preserve">b)}. </w:t>
      </w:r>
      <w:r w:rsidR="002B2499">
        <w:t xml:space="preserve">Further, the </w:t>
      </w:r>
      <w:r w:rsidR="004039EE">
        <w:t>Minister must allow reasonable instruction time in the school day for subjects relating to or arising from the characteristic spirit of the school {section 30(2</w:t>
      </w:r>
      <w:proofErr w:type="gramStart"/>
      <w:r w:rsidR="004039EE">
        <w:t>)(</w:t>
      </w:r>
      <w:proofErr w:type="gramEnd"/>
      <w:r w:rsidR="004039EE">
        <w:t>d)}.</w:t>
      </w:r>
      <w:r w:rsidR="00D1542E">
        <w:t xml:space="preserve">Thus NCCA proposals in areas impinging on religious education </w:t>
      </w:r>
      <w:r w:rsidR="00650364">
        <w:t>and</w:t>
      </w:r>
      <w:r w:rsidR="00D1542E">
        <w:t xml:space="preserve"> the characteristic spirit of the school</w:t>
      </w:r>
      <w:r w:rsidR="00C414F3">
        <w:t xml:space="preserve"> are of a different nature than other NCCA proposals. This is already acknowledged in the area of Relationships and Sexuality Education as part of the NCCA SPHE curriculum </w:t>
      </w:r>
      <w:r w:rsidR="00C414F3">
        <w:lastRenderedPageBreak/>
        <w:t xml:space="preserve">where it is explicitly acknowledged that the curriculum must be interpreted in the context of the characteristic spirit of the school. </w:t>
      </w:r>
    </w:p>
    <w:p w:rsidR="00006DE0" w:rsidRDefault="00F6160A" w:rsidP="008734F1">
      <w:pPr>
        <w:pStyle w:val="ListParagraph"/>
        <w:numPr>
          <w:ilvl w:val="1"/>
          <w:numId w:val="1"/>
        </w:numPr>
      </w:pPr>
      <w:r>
        <w:t xml:space="preserve"> </w:t>
      </w:r>
      <w:r w:rsidR="008734F1">
        <w:t>The NCCA suggest four possible approaches</w:t>
      </w:r>
    </w:p>
    <w:p w:rsidR="00006DE0" w:rsidRDefault="00006DE0" w:rsidP="008347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ERB and Ethics as part of the patron’s programme </w:t>
      </w:r>
    </w:p>
    <w:p w:rsidR="00006DE0" w:rsidRDefault="00006DE0" w:rsidP="008347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ERB and Ethics integrated across curriculum areas </w:t>
      </w:r>
    </w:p>
    <w:p w:rsidR="00006DE0" w:rsidRDefault="00006DE0" w:rsidP="008347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ERB and Ethics as a discrete curriculum </w:t>
      </w:r>
    </w:p>
    <w:p w:rsidR="00006DE0" w:rsidRDefault="00006DE0" w:rsidP="0083473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ERB and Ethics as having both discrete and integrated components </w:t>
      </w:r>
    </w:p>
    <w:p w:rsidR="00834737" w:rsidRDefault="00834737" w:rsidP="008734F1">
      <w:pPr>
        <w:pStyle w:val="Default"/>
        <w:ind w:left="1440"/>
        <w:rPr>
          <w:color w:val="auto"/>
          <w:sz w:val="22"/>
          <w:szCs w:val="22"/>
        </w:rPr>
      </w:pPr>
    </w:p>
    <w:p w:rsidR="007A2136" w:rsidRDefault="006723EB" w:rsidP="005D05B8">
      <w:pPr>
        <w:pStyle w:val="Default"/>
        <w:ind w:left="1440"/>
      </w:pPr>
      <w:r>
        <w:rPr>
          <w:color w:val="auto"/>
          <w:sz w:val="22"/>
          <w:szCs w:val="22"/>
        </w:rPr>
        <w:t>Given the accepted reality of existing curriculum overload and serious time constraints it appears implausible to propose a discrete curriculum</w:t>
      </w:r>
      <w:r w:rsidR="00FB6626">
        <w:rPr>
          <w:color w:val="auto"/>
          <w:sz w:val="22"/>
          <w:szCs w:val="22"/>
        </w:rPr>
        <w:t>. I</w:t>
      </w:r>
      <w:r w:rsidR="00D451CE">
        <w:rPr>
          <w:color w:val="auto"/>
          <w:sz w:val="22"/>
          <w:szCs w:val="22"/>
        </w:rPr>
        <w:t xml:space="preserve">n addition, it was argued that if </w:t>
      </w:r>
      <w:r w:rsidR="00FB6626">
        <w:rPr>
          <w:color w:val="auto"/>
          <w:sz w:val="22"/>
          <w:szCs w:val="22"/>
        </w:rPr>
        <w:t xml:space="preserve">such a </w:t>
      </w:r>
      <w:r w:rsidR="00090D0B">
        <w:rPr>
          <w:color w:val="auto"/>
          <w:sz w:val="22"/>
          <w:szCs w:val="22"/>
        </w:rPr>
        <w:t xml:space="preserve">discrete </w:t>
      </w:r>
      <w:r w:rsidR="00FB6626">
        <w:rPr>
          <w:color w:val="auto"/>
          <w:sz w:val="22"/>
          <w:szCs w:val="22"/>
        </w:rPr>
        <w:t>curriculum was developed on the philosophical basis suggested in the current proposals then this would conflict with the existing faith-based religious education programme and the characteristic spirit in Catholic schools. ERB and Ethics integrated across curriculum areas would</w:t>
      </w:r>
      <w:r w:rsidR="00090D0B">
        <w:rPr>
          <w:color w:val="auto"/>
          <w:sz w:val="22"/>
          <w:szCs w:val="22"/>
        </w:rPr>
        <w:t xml:space="preserve"> arguably</w:t>
      </w:r>
      <w:r w:rsidR="00FB6626">
        <w:rPr>
          <w:color w:val="auto"/>
          <w:sz w:val="22"/>
          <w:szCs w:val="22"/>
        </w:rPr>
        <w:t xml:space="preserve"> raise even more serious questions for the expression of the characteristic spirit of the school. The determination of the ethos or characteristic spirit of a school is not the function of the NCCA</w:t>
      </w:r>
      <w:r w:rsidR="0039321C">
        <w:rPr>
          <w:color w:val="auto"/>
          <w:sz w:val="22"/>
          <w:szCs w:val="22"/>
        </w:rPr>
        <w:t xml:space="preserve"> </w:t>
      </w:r>
      <w:r w:rsidR="00FB6626">
        <w:rPr>
          <w:color w:val="auto"/>
          <w:sz w:val="22"/>
          <w:szCs w:val="22"/>
        </w:rPr>
        <w:t>or the Minister.</w:t>
      </w:r>
      <w:r w:rsidR="0039321C">
        <w:rPr>
          <w:color w:val="auto"/>
          <w:sz w:val="22"/>
          <w:szCs w:val="22"/>
        </w:rPr>
        <w:t xml:space="preserve"> Curriculum proposals </w:t>
      </w:r>
      <w:r w:rsidR="005D05B8">
        <w:rPr>
          <w:color w:val="auto"/>
          <w:sz w:val="22"/>
          <w:szCs w:val="22"/>
        </w:rPr>
        <w:t xml:space="preserve">in sensitive areas should take account of the fact that faith-based schools are committed to a particular understanding of the human person. </w:t>
      </w:r>
      <w:r w:rsidR="00D451CE">
        <w:rPr>
          <w:color w:val="auto"/>
          <w:sz w:val="22"/>
          <w:szCs w:val="22"/>
        </w:rPr>
        <w:t xml:space="preserve">It was felt that further </w:t>
      </w:r>
      <w:r w:rsidR="005D05B8">
        <w:rPr>
          <w:color w:val="auto"/>
          <w:sz w:val="22"/>
          <w:szCs w:val="22"/>
        </w:rPr>
        <w:t xml:space="preserve">consultation should take place between the NCCA and patrons of faith-based schools on how the </w:t>
      </w:r>
      <w:r w:rsidR="00D050FD">
        <w:rPr>
          <w:color w:val="auto"/>
          <w:sz w:val="22"/>
          <w:szCs w:val="22"/>
        </w:rPr>
        <w:t xml:space="preserve">concerns behind the NCCA </w:t>
      </w:r>
      <w:r w:rsidR="005D05B8">
        <w:rPr>
          <w:color w:val="auto"/>
          <w:sz w:val="22"/>
          <w:szCs w:val="22"/>
        </w:rPr>
        <w:t xml:space="preserve">proposals might be </w:t>
      </w:r>
      <w:r w:rsidR="00D050FD">
        <w:rPr>
          <w:color w:val="auto"/>
          <w:sz w:val="22"/>
          <w:szCs w:val="22"/>
        </w:rPr>
        <w:t xml:space="preserve">addressed through the patrons’ programmes and by a set of guidelines for all schools. </w:t>
      </w:r>
    </w:p>
    <w:p w:rsidR="00844AEE" w:rsidRDefault="00844AEE"/>
    <w:p w:rsidR="0005683D" w:rsidRDefault="00057479" w:rsidP="002A466B">
      <w:pPr>
        <w:ind w:left="720"/>
      </w:pPr>
      <w:r>
        <w:t xml:space="preserve">The NCCA website has an on-line questionnaire and they have also invited written submissions. The questionnaire provides very limited scope for dealing with the issues and frames them in a certain way. </w:t>
      </w:r>
      <w:r w:rsidR="00D766C4">
        <w:t xml:space="preserve">A written submission will provide respondents with a better mechanism to express their views. </w:t>
      </w:r>
    </w:p>
    <w:p w:rsidR="0005683D" w:rsidRDefault="0005683D" w:rsidP="002A466B">
      <w:pPr>
        <w:ind w:left="720"/>
      </w:pPr>
    </w:p>
    <w:p w:rsidR="002A466B" w:rsidRDefault="002A466B" w:rsidP="002A466B">
      <w:pPr>
        <w:ind w:left="720"/>
      </w:pPr>
      <w:r>
        <w:t>T</w:t>
      </w:r>
      <w:r w:rsidR="0007409A">
        <w:t>hree</w:t>
      </w:r>
      <w:r>
        <w:t xml:space="preserve"> useful publications</w:t>
      </w:r>
    </w:p>
    <w:p w:rsidR="002A466B" w:rsidRDefault="002A466B" w:rsidP="002A466B">
      <w:pPr>
        <w:ind w:left="720"/>
      </w:pPr>
      <w:r>
        <w:t xml:space="preserve">CSP, </w:t>
      </w:r>
      <w:r w:rsidRPr="00F92810">
        <w:rPr>
          <w:i/>
        </w:rPr>
        <w:t xml:space="preserve">Catholic Primary Schools in a Changing Ireland – Sharing </w:t>
      </w:r>
      <w:r w:rsidR="00F92810" w:rsidRPr="00F92810">
        <w:rPr>
          <w:i/>
        </w:rPr>
        <w:t>Good P</w:t>
      </w:r>
      <w:r w:rsidRPr="00F92810">
        <w:rPr>
          <w:i/>
        </w:rPr>
        <w:t>ractice on Inclusion of All Pupils</w:t>
      </w:r>
      <w:r>
        <w:t xml:space="preserve">, </w:t>
      </w:r>
      <w:proofErr w:type="spellStart"/>
      <w:r w:rsidR="00F92810">
        <w:t>Maynooth</w:t>
      </w:r>
      <w:proofErr w:type="spellEnd"/>
      <w:r w:rsidR="00F92810">
        <w:t xml:space="preserve"> </w:t>
      </w:r>
      <w:r>
        <w:t xml:space="preserve">2015, available at </w:t>
      </w:r>
      <w:hyperlink r:id="rId6" w:history="1">
        <w:r w:rsidR="00F92810" w:rsidRPr="00133161">
          <w:rPr>
            <w:rStyle w:val="Hyperlink"/>
          </w:rPr>
          <w:t>http://www.catholicschools.ie/2015/03/12/catholic-primary-schools-in-a-changing-ireland/</w:t>
        </w:r>
      </w:hyperlink>
      <w:r w:rsidR="00F92810">
        <w:t xml:space="preserve">. </w:t>
      </w:r>
    </w:p>
    <w:p w:rsidR="00D451CE" w:rsidRDefault="00D451CE" w:rsidP="002A466B">
      <w:pPr>
        <w:ind w:left="720"/>
      </w:pPr>
      <w:r>
        <w:t xml:space="preserve">Anne </w:t>
      </w:r>
      <w:proofErr w:type="spellStart"/>
      <w:r>
        <w:t>Hession</w:t>
      </w:r>
      <w:proofErr w:type="spellEnd"/>
      <w:r>
        <w:t>,</w:t>
      </w:r>
      <w:r w:rsidR="003525C7">
        <w:t xml:space="preserve"> </w:t>
      </w:r>
      <w:r w:rsidRPr="003525C7">
        <w:rPr>
          <w:i/>
        </w:rPr>
        <w:t>Catholic Primary Religious Education in a Pluralist Environment</w:t>
      </w:r>
      <w:r>
        <w:t>, Veritas, 2015.</w:t>
      </w:r>
    </w:p>
    <w:p w:rsidR="0007409A" w:rsidRDefault="0007409A" w:rsidP="0007409A">
      <w:pPr>
        <w:ind w:left="720"/>
      </w:pPr>
      <w:r>
        <w:t xml:space="preserve">Dermot A. Lane, </w:t>
      </w:r>
      <w:r w:rsidRPr="00F92810">
        <w:rPr>
          <w:i/>
        </w:rPr>
        <w:t>Challenges Facing Religious Education in Contemporary Ireland</w:t>
      </w:r>
      <w:r>
        <w:t xml:space="preserve">, Veritas 2008.  </w:t>
      </w:r>
    </w:p>
    <w:p w:rsidR="0007409A" w:rsidRDefault="0078474D" w:rsidP="002A466B">
      <w:pPr>
        <w:ind w:left="720"/>
      </w:pPr>
      <w:r>
        <w:t xml:space="preserve">  </w:t>
      </w:r>
    </w:p>
    <w:p w:rsidR="00D451CE" w:rsidRDefault="00D451CE" w:rsidP="002A466B">
      <w:pPr>
        <w:ind w:left="720"/>
      </w:pPr>
    </w:p>
    <w:sectPr w:rsidR="00D4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F22"/>
    <w:multiLevelType w:val="hybridMultilevel"/>
    <w:tmpl w:val="100CE200"/>
    <w:lvl w:ilvl="0" w:tplc="18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D32DCB"/>
    <w:multiLevelType w:val="hybridMultilevel"/>
    <w:tmpl w:val="78828A80"/>
    <w:lvl w:ilvl="0" w:tplc="E73EE178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F46B3B"/>
    <w:multiLevelType w:val="hybridMultilevel"/>
    <w:tmpl w:val="28AE0EEC"/>
    <w:lvl w:ilvl="0" w:tplc="0870EA2A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0"/>
    <w:rsid w:val="00006DE0"/>
    <w:rsid w:val="0005683D"/>
    <w:rsid w:val="00057479"/>
    <w:rsid w:val="0007409A"/>
    <w:rsid w:val="00090D0B"/>
    <w:rsid w:val="000A4CD1"/>
    <w:rsid w:val="00125D10"/>
    <w:rsid w:val="00163643"/>
    <w:rsid w:val="002264F5"/>
    <w:rsid w:val="002341C2"/>
    <w:rsid w:val="00284688"/>
    <w:rsid w:val="002A466B"/>
    <w:rsid w:val="002B2499"/>
    <w:rsid w:val="003525C7"/>
    <w:rsid w:val="0039321C"/>
    <w:rsid w:val="003D76A2"/>
    <w:rsid w:val="004039EE"/>
    <w:rsid w:val="00543900"/>
    <w:rsid w:val="005D05B8"/>
    <w:rsid w:val="00650364"/>
    <w:rsid w:val="006723EB"/>
    <w:rsid w:val="006C03F7"/>
    <w:rsid w:val="00767F95"/>
    <w:rsid w:val="0078474D"/>
    <w:rsid w:val="007A2136"/>
    <w:rsid w:val="00834737"/>
    <w:rsid w:val="00844AEE"/>
    <w:rsid w:val="008734F1"/>
    <w:rsid w:val="00A84635"/>
    <w:rsid w:val="00B44C76"/>
    <w:rsid w:val="00C044E8"/>
    <w:rsid w:val="00C414F3"/>
    <w:rsid w:val="00D050FD"/>
    <w:rsid w:val="00D1542E"/>
    <w:rsid w:val="00D451CE"/>
    <w:rsid w:val="00D46485"/>
    <w:rsid w:val="00D6483D"/>
    <w:rsid w:val="00D766C4"/>
    <w:rsid w:val="00D85F77"/>
    <w:rsid w:val="00E143AB"/>
    <w:rsid w:val="00F03D26"/>
    <w:rsid w:val="00F6160A"/>
    <w:rsid w:val="00F92810"/>
    <w:rsid w:val="00FB6626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EA0E59-FC51-4710-AB5B-163CEC8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0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006DE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8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097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4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holicschools.ie/2015/03/12/catholic-primary-schools-in-a-changing-irela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1F3A-1C41-43D6-8806-0CA8B61D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Drumm</dc:creator>
  <cp:lastModifiedBy>dan leo</cp:lastModifiedBy>
  <cp:revision>2</cp:revision>
  <cp:lastPrinted>2015-12-11T12:23:00Z</cp:lastPrinted>
  <dcterms:created xsi:type="dcterms:W3CDTF">2016-01-21T10:45:00Z</dcterms:created>
  <dcterms:modified xsi:type="dcterms:W3CDTF">2016-01-21T10:45:00Z</dcterms:modified>
</cp:coreProperties>
</file>